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779B" w14:textId="7371D396" w:rsidR="004459F9" w:rsidRDefault="004459F9" w:rsidP="000B7E8A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LivingWorks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is seeking a</w:t>
      </w:r>
    </w:p>
    <w:p w14:paraId="7EC1FF73" w14:textId="77777777" w:rsidR="000B7E8A" w:rsidRDefault="00B55FC7" w:rsidP="000B7E8A">
      <w:pPr>
        <w:ind w:left="-810"/>
        <w:jc w:val="center"/>
        <w:rPr>
          <w:rFonts w:ascii="Calibri" w:eastAsia="Times New Roman" w:hAnsi="Calibri" w:cs="Times New Roman"/>
          <w:b/>
          <w:bCs/>
          <w:color w:val="005677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5677"/>
          <w:sz w:val="32"/>
          <w:szCs w:val="32"/>
        </w:rPr>
        <w:t>Bookkeeper</w:t>
      </w:r>
    </w:p>
    <w:p w14:paraId="283BB8A9" w14:textId="5BC7101D" w:rsidR="00B82727" w:rsidRPr="00B82727" w:rsidRDefault="00B82727" w:rsidP="000B7E8A">
      <w:pPr>
        <w:ind w:left="-810"/>
        <w:jc w:val="center"/>
        <w:rPr>
          <w:rFonts w:ascii="Calibri" w:eastAsia="Times New Roman" w:hAnsi="Calibri" w:cs="Times New Roman"/>
          <w:sz w:val="28"/>
          <w:szCs w:val="28"/>
        </w:rPr>
      </w:pPr>
      <w:r w:rsidRPr="00B82727"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  <w:t>Location</w:t>
      </w:r>
      <w:r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</w:rPr>
        <w:t>Suite #500, 151 Canada Olympic Road SW, Calgary Alberta</w:t>
      </w:r>
    </w:p>
    <w:p w14:paraId="5E4FA072" w14:textId="09E04100" w:rsidR="004459F9" w:rsidRPr="004459F9" w:rsidRDefault="004459F9" w:rsidP="004459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8FC"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  <w:t xml:space="preserve">About </w:t>
      </w:r>
      <w:proofErr w:type="spellStart"/>
      <w:r w:rsidRPr="00D068FC"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  <w:t>LivingWorks</w:t>
      </w:r>
      <w:proofErr w:type="spellEnd"/>
    </w:p>
    <w:p w14:paraId="2374264E" w14:textId="01FA3014" w:rsidR="004459F9" w:rsidRPr="004459F9" w:rsidRDefault="004459F9" w:rsidP="004459F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4459F9">
        <w:rPr>
          <w:rFonts w:ascii="Calibri" w:eastAsia="Times New Roman" w:hAnsi="Calibri" w:cs="Calibri"/>
          <w:color w:val="000000"/>
          <w:sz w:val="24"/>
          <w:szCs w:val="24"/>
        </w:rPr>
        <w:t xml:space="preserve">For nearly four decades, we’ve wondered: how can we make the world a better place? At </w:t>
      </w:r>
      <w:proofErr w:type="spellStart"/>
      <w:r w:rsidRPr="004459F9">
        <w:rPr>
          <w:rFonts w:ascii="Calibri" w:eastAsia="Times New Roman" w:hAnsi="Calibri" w:cs="Calibri"/>
          <w:color w:val="000000"/>
          <w:sz w:val="24"/>
          <w:szCs w:val="24"/>
        </w:rPr>
        <w:t>LivingWorks</w:t>
      </w:r>
      <w:proofErr w:type="spellEnd"/>
      <w:r w:rsidRPr="004459F9">
        <w:rPr>
          <w:rFonts w:ascii="Calibri" w:eastAsia="Times New Roman" w:hAnsi="Calibri" w:cs="Calibri"/>
          <w:color w:val="000000"/>
          <w:sz w:val="24"/>
          <w:szCs w:val="24"/>
        </w:rPr>
        <w:t>, that comes in the form of saving lives from suicide. We make it possible with innovative, evidence-based training that can empower anyone to recognize someone’s distress and take action to keep them safe. Everyone has a role to play, and we have a training program for every role.</w:t>
      </w:r>
    </w:p>
    <w:p w14:paraId="430F599F" w14:textId="437B6465" w:rsidR="00B55FC7" w:rsidRDefault="00B55FC7" w:rsidP="004459F9">
      <w:pPr>
        <w:spacing w:line="240" w:lineRule="auto"/>
        <w:rPr>
          <w:rFonts w:ascii="Calibri" w:hAnsi="Calibri" w:cs="Calibri"/>
          <w:sz w:val="24"/>
          <w:szCs w:val="24"/>
        </w:rPr>
      </w:pPr>
      <w:r w:rsidRPr="00B55FC7">
        <w:rPr>
          <w:rFonts w:ascii="Calibri" w:hAnsi="Calibri" w:cs="Calibri"/>
          <w:sz w:val="24"/>
          <w:szCs w:val="24"/>
        </w:rPr>
        <w:t xml:space="preserve">The Bookkeeper records and maintains </w:t>
      </w:r>
      <w:proofErr w:type="spellStart"/>
      <w:r w:rsidRPr="00B55FC7">
        <w:rPr>
          <w:rFonts w:ascii="Calibri" w:hAnsi="Calibri" w:cs="Calibri"/>
          <w:sz w:val="24"/>
          <w:szCs w:val="24"/>
        </w:rPr>
        <w:t>LivingWorks</w:t>
      </w:r>
      <w:proofErr w:type="spellEnd"/>
      <w:r w:rsidRPr="00B55FC7">
        <w:rPr>
          <w:rFonts w:ascii="Calibri" w:hAnsi="Calibri" w:cs="Calibri"/>
          <w:sz w:val="24"/>
          <w:szCs w:val="24"/>
        </w:rPr>
        <w:t>’ financial transactions with consistency and accuracy.  The excellent work of the Bookkeeper produces accurate and timely information that supports the best business decisions in an increasingly complex world.</w:t>
      </w:r>
    </w:p>
    <w:p w14:paraId="6FC73FF8" w14:textId="77777777" w:rsidR="000B7E8A" w:rsidRDefault="000B7E8A" w:rsidP="004459F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F072D51" w14:textId="3C5FD230" w:rsidR="004459F9" w:rsidRPr="00D068FC" w:rsidRDefault="004459F9" w:rsidP="004459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  <w:t>Key Responsibilities</w:t>
      </w:r>
    </w:p>
    <w:p w14:paraId="315F1832" w14:textId="7BBE5B12" w:rsidR="004459F9" w:rsidRDefault="00B55FC7" w:rsidP="00B55FC7">
      <w:pPr>
        <w:pStyle w:val="ListParagraph"/>
        <w:numPr>
          <w:ilvl w:val="0"/>
          <w:numId w:val="13"/>
        </w:numPr>
        <w:ind w:left="360"/>
        <w:rPr>
          <w:rFonts w:ascii="Calibri" w:hAnsi="Calibri" w:cs="Calibri"/>
          <w:sz w:val="24"/>
          <w:szCs w:val="24"/>
        </w:rPr>
      </w:pPr>
      <w:r w:rsidRPr="00B55FC7">
        <w:rPr>
          <w:rFonts w:ascii="Calibri" w:hAnsi="Calibri" w:cs="Calibri"/>
          <w:sz w:val="24"/>
          <w:szCs w:val="24"/>
        </w:rPr>
        <w:t>Accounting for revenue (AR):</w:t>
      </w:r>
    </w:p>
    <w:p w14:paraId="557061DD" w14:textId="1FC0A6A4" w:rsidR="000B7E8A" w:rsidRPr="000B7E8A" w:rsidRDefault="000B7E8A" w:rsidP="000B7E8A">
      <w:pPr>
        <w:pStyle w:val="ListParagraph"/>
        <w:numPr>
          <w:ilvl w:val="1"/>
          <w:numId w:val="13"/>
        </w:numPr>
        <w:ind w:left="720"/>
        <w:rPr>
          <w:rFonts w:ascii="Calibri" w:hAnsi="Calibri" w:cs="Calibri"/>
          <w:sz w:val="24"/>
          <w:szCs w:val="24"/>
        </w:rPr>
      </w:pPr>
      <w:r w:rsidRPr="000B7E8A">
        <w:rPr>
          <w:rFonts w:ascii="Calibri" w:hAnsi="Calibri" w:cs="Calibri"/>
          <w:sz w:val="24"/>
          <w:szCs w:val="24"/>
        </w:rPr>
        <w:t>Invoicing</w:t>
      </w:r>
    </w:p>
    <w:p w14:paraId="53674E26" w14:textId="77777777" w:rsidR="000B7E8A" w:rsidRPr="000B7E8A" w:rsidRDefault="000B7E8A" w:rsidP="000B7E8A">
      <w:pPr>
        <w:pStyle w:val="ListParagraph"/>
        <w:numPr>
          <w:ilvl w:val="1"/>
          <w:numId w:val="13"/>
        </w:numPr>
        <w:ind w:left="720"/>
        <w:rPr>
          <w:rFonts w:ascii="Calibri" w:hAnsi="Calibri" w:cs="Calibri"/>
          <w:sz w:val="24"/>
          <w:szCs w:val="24"/>
        </w:rPr>
      </w:pPr>
      <w:r w:rsidRPr="000B7E8A">
        <w:rPr>
          <w:rFonts w:ascii="Calibri" w:hAnsi="Calibri" w:cs="Calibri"/>
          <w:sz w:val="24"/>
          <w:szCs w:val="24"/>
        </w:rPr>
        <w:t>Deposits</w:t>
      </w:r>
    </w:p>
    <w:p w14:paraId="3D2DF31A" w14:textId="77777777" w:rsidR="000B7E8A" w:rsidRPr="000B7E8A" w:rsidRDefault="000B7E8A" w:rsidP="000B7E8A">
      <w:pPr>
        <w:pStyle w:val="ListParagraph"/>
        <w:numPr>
          <w:ilvl w:val="1"/>
          <w:numId w:val="13"/>
        </w:numPr>
        <w:ind w:left="720"/>
        <w:rPr>
          <w:rFonts w:ascii="Calibri" w:hAnsi="Calibri" w:cs="Calibri"/>
          <w:sz w:val="24"/>
          <w:szCs w:val="24"/>
        </w:rPr>
      </w:pPr>
      <w:r w:rsidRPr="000B7E8A">
        <w:rPr>
          <w:rFonts w:ascii="Calibri" w:hAnsi="Calibri" w:cs="Calibri"/>
          <w:sz w:val="24"/>
          <w:szCs w:val="24"/>
        </w:rPr>
        <w:t>Collections</w:t>
      </w:r>
    </w:p>
    <w:p w14:paraId="26D40A7B" w14:textId="77777777" w:rsidR="000B7E8A" w:rsidRPr="000B7E8A" w:rsidRDefault="000B7E8A" w:rsidP="000B7E8A">
      <w:pPr>
        <w:pStyle w:val="ListParagraph"/>
        <w:numPr>
          <w:ilvl w:val="1"/>
          <w:numId w:val="13"/>
        </w:numPr>
        <w:ind w:left="720"/>
        <w:rPr>
          <w:rFonts w:ascii="Calibri" w:hAnsi="Calibri" w:cs="Calibri"/>
          <w:sz w:val="24"/>
          <w:szCs w:val="24"/>
        </w:rPr>
      </w:pPr>
      <w:r w:rsidRPr="000B7E8A">
        <w:rPr>
          <w:rFonts w:ascii="Calibri" w:hAnsi="Calibri" w:cs="Calibri"/>
          <w:sz w:val="24"/>
          <w:szCs w:val="24"/>
        </w:rPr>
        <w:t>Reconciliations</w:t>
      </w:r>
    </w:p>
    <w:p w14:paraId="50B8BD9F" w14:textId="61D0CDF4" w:rsidR="00B55FC7" w:rsidRPr="000B7E8A" w:rsidRDefault="000B7E8A" w:rsidP="000B7E8A">
      <w:pPr>
        <w:pStyle w:val="ListParagraph"/>
        <w:numPr>
          <w:ilvl w:val="1"/>
          <w:numId w:val="13"/>
        </w:numPr>
        <w:ind w:left="720"/>
        <w:rPr>
          <w:rFonts w:ascii="Calibri" w:hAnsi="Calibri" w:cs="Calibri"/>
          <w:sz w:val="24"/>
          <w:szCs w:val="24"/>
        </w:rPr>
      </w:pPr>
      <w:r w:rsidRPr="000B7E8A">
        <w:rPr>
          <w:rFonts w:ascii="Calibri" w:hAnsi="Calibri" w:cs="Calibri"/>
          <w:sz w:val="24"/>
          <w:szCs w:val="24"/>
        </w:rPr>
        <w:t>Maintaining proper allocations in the GL</w:t>
      </w:r>
    </w:p>
    <w:p w14:paraId="3F29B34F" w14:textId="3DB4FB3C" w:rsidR="00B55FC7" w:rsidRDefault="00B55FC7" w:rsidP="00B55FC7">
      <w:pPr>
        <w:pStyle w:val="ListParagraph"/>
        <w:numPr>
          <w:ilvl w:val="0"/>
          <w:numId w:val="13"/>
        </w:numPr>
        <w:ind w:left="360"/>
        <w:rPr>
          <w:rFonts w:ascii="Calibri" w:hAnsi="Calibri" w:cs="Calibri"/>
          <w:sz w:val="24"/>
          <w:szCs w:val="24"/>
        </w:rPr>
      </w:pPr>
      <w:r w:rsidRPr="00B55FC7">
        <w:rPr>
          <w:rFonts w:ascii="Calibri" w:hAnsi="Calibri" w:cs="Calibri"/>
          <w:sz w:val="24"/>
          <w:szCs w:val="24"/>
        </w:rPr>
        <w:t>Accounting for expenses and capital purchases (AP):</w:t>
      </w:r>
    </w:p>
    <w:p w14:paraId="0E0D02A4" w14:textId="77777777" w:rsidR="000B7E8A" w:rsidRPr="000B7E8A" w:rsidRDefault="000B7E8A" w:rsidP="000B7E8A">
      <w:pPr>
        <w:pStyle w:val="ListParagraph"/>
        <w:numPr>
          <w:ilvl w:val="1"/>
          <w:numId w:val="13"/>
        </w:numPr>
        <w:ind w:left="720"/>
        <w:rPr>
          <w:rFonts w:ascii="Calibri" w:hAnsi="Calibri" w:cs="Calibri"/>
          <w:sz w:val="24"/>
          <w:szCs w:val="24"/>
        </w:rPr>
      </w:pPr>
      <w:r w:rsidRPr="000B7E8A">
        <w:rPr>
          <w:rFonts w:ascii="Calibri" w:hAnsi="Calibri" w:cs="Calibri"/>
          <w:sz w:val="24"/>
          <w:szCs w:val="24"/>
        </w:rPr>
        <w:t>Entering POs and bills</w:t>
      </w:r>
    </w:p>
    <w:p w14:paraId="242AF957" w14:textId="77777777" w:rsidR="000B7E8A" w:rsidRPr="000B7E8A" w:rsidRDefault="000B7E8A" w:rsidP="000B7E8A">
      <w:pPr>
        <w:pStyle w:val="ListParagraph"/>
        <w:numPr>
          <w:ilvl w:val="1"/>
          <w:numId w:val="13"/>
        </w:numPr>
        <w:ind w:left="720"/>
        <w:rPr>
          <w:rFonts w:ascii="Calibri" w:hAnsi="Calibri" w:cs="Calibri"/>
          <w:sz w:val="24"/>
          <w:szCs w:val="24"/>
        </w:rPr>
      </w:pPr>
      <w:r w:rsidRPr="000B7E8A">
        <w:rPr>
          <w:rFonts w:ascii="Calibri" w:hAnsi="Calibri" w:cs="Calibri"/>
          <w:sz w:val="24"/>
          <w:szCs w:val="24"/>
        </w:rPr>
        <w:t>Making payments</w:t>
      </w:r>
    </w:p>
    <w:p w14:paraId="63170A4E" w14:textId="467AD0C8" w:rsidR="000B7E8A" w:rsidRPr="000B7E8A" w:rsidRDefault="000B7E8A" w:rsidP="000B7E8A">
      <w:pPr>
        <w:pStyle w:val="ListParagraph"/>
        <w:numPr>
          <w:ilvl w:val="1"/>
          <w:numId w:val="13"/>
        </w:numPr>
        <w:ind w:left="720"/>
        <w:rPr>
          <w:rFonts w:ascii="Calibri" w:hAnsi="Calibri" w:cs="Calibri"/>
          <w:sz w:val="24"/>
          <w:szCs w:val="24"/>
        </w:rPr>
      </w:pPr>
      <w:r w:rsidRPr="000B7E8A">
        <w:rPr>
          <w:rFonts w:ascii="Calibri" w:hAnsi="Calibri" w:cs="Calibri"/>
          <w:sz w:val="24"/>
          <w:szCs w:val="24"/>
        </w:rPr>
        <w:t>Maintaining proper allocations in the GL</w:t>
      </w:r>
    </w:p>
    <w:p w14:paraId="4A75C5E5" w14:textId="77777777" w:rsidR="000B7E8A" w:rsidRDefault="000B7E8A" w:rsidP="0075432C">
      <w:pPr>
        <w:spacing w:line="240" w:lineRule="auto"/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</w:pPr>
    </w:p>
    <w:p w14:paraId="15D9EC11" w14:textId="49EDFFA9" w:rsidR="00F02F5F" w:rsidRDefault="00F02F5F" w:rsidP="0075432C">
      <w:pPr>
        <w:spacing w:line="240" w:lineRule="auto"/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</w:pPr>
      <w:r w:rsidRPr="00F02F5F"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  <w:t xml:space="preserve">Qualifications and </w:t>
      </w:r>
      <w:r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  <w:t>Experience</w:t>
      </w:r>
    </w:p>
    <w:p w14:paraId="2567C099" w14:textId="77777777" w:rsidR="000B7E8A" w:rsidRPr="000B7E8A" w:rsidRDefault="000B7E8A" w:rsidP="000B7E8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Calibri" w:eastAsia="Century Gothic" w:hAnsi="Calibri" w:cs="Calibri"/>
          <w:sz w:val="24"/>
          <w:szCs w:val="24"/>
        </w:rPr>
      </w:pPr>
      <w:r w:rsidRPr="000B7E8A">
        <w:rPr>
          <w:rFonts w:ascii="Calibri" w:eastAsia="Century Gothic" w:hAnsi="Calibri" w:cs="Calibri"/>
          <w:sz w:val="24"/>
          <w:szCs w:val="24"/>
        </w:rPr>
        <w:t>Minimum five (5) years of experience.</w:t>
      </w:r>
    </w:p>
    <w:p w14:paraId="082D1E0E" w14:textId="78C78DF9" w:rsidR="00F02F5F" w:rsidRDefault="000B7E8A" w:rsidP="000B7E8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Calibri" w:eastAsia="Century Gothic" w:hAnsi="Calibri" w:cs="Calibri"/>
          <w:sz w:val="24"/>
          <w:szCs w:val="24"/>
        </w:rPr>
      </w:pPr>
      <w:r w:rsidRPr="000B7E8A">
        <w:rPr>
          <w:rFonts w:ascii="Calibri" w:eastAsia="Century Gothic" w:hAnsi="Calibri" w:cs="Calibri"/>
          <w:sz w:val="24"/>
          <w:szCs w:val="24"/>
        </w:rPr>
        <w:t>Proficient with QuickBooks Desktop Enterprise and Excel</w:t>
      </w:r>
    </w:p>
    <w:p w14:paraId="68F9F1EF" w14:textId="7C381071" w:rsidR="000B7E8A" w:rsidRDefault="000B7E8A" w:rsidP="000B7E8A">
      <w:pPr>
        <w:spacing w:line="240" w:lineRule="auto"/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</w:pPr>
      <w:r w:rsidRPr="000B7E8A">
        <w:rPr>
          <w:rFonts w:ascii="Calibri" w:eastAsia="Times New Roman" w:hAnsi="Calibri" w:cs="Times New Roman"/>
          <w:b/>
          <w:bCs/>
          <w:color w:val="005677"/>
          <w:sz w:val="28"/>
          <w:szCs w:val="28"/>
        </w:rPr>
        <w:lastRenderedPageBreak/>
        <w:t>Qualifications and Experience</w:t>
      </w:r>
    </w:p>
    <w:p w14:paraId="198D364C" w14:textId="797D204A" w:rsidR="000B7E8A" w:rsidRDefault="000B7E8A" w:rsidP="000B7E8A">
      <w:pPr>
        <w:pStyle w:val="ListParagraph"/>
        <w:numPr>
          <w:ilvl w:val="0"/>
          <w:numId w:val="15"/>
        </w:numPr>
        <w:ind w:left="450"/>
        <w:rPr>
          <w:rFonts w:ascii="Calibri" w:eastAsia="Century Gothic" w:hAnsi="Calibri" w:cs="Calibri"/>
          <w:sz w:val="24"/>
          <w:szCs w:val="24"/>
        </w:rPr>
      </w:pPr>
      <w:r w:rsidRPr="000B7E8A">
        <w:rPr>
          <w:rFonts w:ascii="Calibri" w:eastAsia="Century Gothic" w:hAnsi="Calibri" w:cs="Calibri"/>
          <w:sz w:val="24"/>
          <w:szCs w:val="24"/>
        </w:rPr>
        <w:t>Driven to provide excellent customer service to:</w:t>
      </w:r>
    </w:p>
    <w:p w14:paraId="56DAE551" w14:textId="77777777" w:rsidR="000B7E8A" w:rsidRPr="000B7E8A" w:rsidRDefault="000B7E8A" w:rsidP="000B7E8A">
      <w:pPr>
        <w:pStyle w:val="ListParagraph"/>
        <w:numPr>
          <w:ilvl w:val="1"/>
          <w:numId w:val="15"/>
        </w:numPr>
        <w:ind w:left="810"/>
        <w:rPr>
          <w:rFonts w:ascii="Calibri" w:eastAsia="Century Gothic" w:hAnsi="Calibri" w:cs="Calibri"/>
          <w:sz w:val="24"/>
          <w:szCs w:val="24"/>
        </w:rPr>
      </w:pPr>
      <w:r w:rsidRPr="000B7E8A">
        <w:rPr>
          <w:rFonts w:ascii="Calibri" w:eastAsia="Century Gothic" w:hAnsi="Calibri" w:cs="Calibri"/>
          <w:sz w:val="24"/>
          <w:szCs w:val="24"/>
        </w:rPr>
        <w:t>Internal Stakeholders</w:t>
      </w:r>
    </w:p>
    <w:p w14:paraId="504C9CC9" w14:textId="5B145DEB" w:rsidR="000B7E8A" w:rsidRDefault="000B7E8A" w:rsidP="000B7E8A">
      <w:pPr>
        <w:pStyle w:val="ListParagraph"/>
        <w:numPr>
          <w:ilvl w:val="1"/>
          <w:numId w:val="15"/>
        </w:numPr>
        <w:ind w:left="810"/>
        <w:rPr>
          <w:rFonts w:ascii="Calibri" w:eastAsia="Century Gothic" w:hAnsi="Calibri" w:cs="Calibri"/>
          <w:sz w:val="24"/>
          <w:szCs w:val="24"/>
        </w:rPr>
      </w:pPr>
      <w:r w:rsidRPr="000B7E8A">
        <w:rPr>
          <w:rFonts w:ascii="Calibri" w:eastAsia="Century Gothic" w:hAnsi="Calibri" w:cs="Calibri"/>
          <w:sz w:val="24"/>
          <w:szCs w:val="24"/>
        </w:rPr>
        <w:t>Vendors and Customers</w:t>
      </w:r>
    </w:p>
    <w:p w14:paraId="3763F27D" w14:textId="5510F350" w:rsidR="000B7E8A" w:rsidRPr="000B7E8A" w:rsidRDefault="000B7E8A" w:rsidP="000B7E8A">
      <w:pPr>
        <w:pStyle w:val="ListParagraph"/>
        <w:numPr>
          <w:ilvl w:val="0"/>
          <w:numId w:val="15"/>
        </w:numPr>
        <w:ind w:left="450"/>
        <w:rPr>
          <w:rFonts w:ascii="Calibri" w:eastAsia="Century Gothic" w:hAnsi="Calibri" w:cs="Calibri"/>
          <w:sz w:val="24"/>
          <w:szCs w:val="24"/>
        </w:rPr>
      </w:pPr>
      <w:r w:rsidRPr="000B7E8A">
        <w:rPr>
          <w:rFonts w:ascii="Calibri" w:eastAsia="Century Gothic" w:hAnsi="Calibri" w:cs="Calibri"/>
          <w:sz w:val="24"/>
          <w:szCs w:val="24"/>
        </w:rPr>
        <w:t>Takes a proactive, detailed approach to bookkeeping with curiosity about the ‘how’ and the ‘why’ and not satisfied with simply the rote procedure.</w:t>
      </w:r>
    </w:p>
    <w:p w14:paraId="1A9E901B" w14:textId="54699289" w:rsidR="000B7E8A" w:rsidRPr="000B7E8A" w:rsidRDefault="000B7E8A" w:rsidP="000B7E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entury Gothic" w:hAnsi="Calibri" w:cs="Calibri"/>
          <w:sz w:val="24"/>
          <w:szCs w:val="24"/>
        </w:rPr>
      </w:pPr>
    </w:p>
    <w:sectPr w:rsidR="000B7E8A" w:rsidRPr="000B7E8A" w:rsidSect="00B8555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72" w:right="1440" w:bottom="28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6FD4" w14:textId="77777777" w:rsidR="004F083E" w:rsidRDefault="004F083E" w:rsidP="00C56795">
      <w:pPr>
        <w:spacing w:after="0" w:line="240" w:lineRule="auto"/>
      </w:pPr>
      <w:r>
        <w:separator/>
      </w:r>
    </w:p>
  </w:endnote>
  <w:endnote w:type="continuationSeparator" w:id="0">
    <w:p w14:paraId="21710F55" w14:textId="77777777" w:rsidR="004F083E" w:rsidRDefault="004F083E" w:rsidP="00C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3C78" w14:textId="4EDE3B75" w:rsidR="008F5620" w:rsidRDefault="00B85557">
    <w:pPr>
      <w:pStyle w:val="Footer"/>
    </w:pPr>
    <w:r>
      <w:rPr>
        <w:noProof/>
      </w:rPr>
      <w:drawing>
        <wp:inline distT="0" distB="0" distL="0" distR="0" wp14:anchorId="3E9BE041" wp14:editId="2AA765DB">
          <wp:extent cx="5943600" cy="911860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C60E" w14:textId="470F2D4A" w:rsidR="007248C4" w:rsidRDefault="005C044B" w:rsidP="001E6AFC">
    <w:pPr>
      <w:pStyle w:val="Footer"/>
      <w:ind w:left="-63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9509E" wp14:editId="15D7E69D">
          <wp:simplePos x="0" y="0"/>
          <wp:positionH relativeFrom="margin">
            <wp:align>center</wp:align>
          </wp:positionH>
          <wp:positionV relativeFrom="paragraph">
            <wp:posOffset>-829310</wp:posOffset>
          </wp:positionV>
          <wp:extent cx="6518921" cy="1000125"/>
          <wp:effectExtent l="0" t="0" r="0" b="0"/>
          <wp:wrapNone/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892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44F2" w14:textId="77777777" w:rsidR="004F083E" w:rsidRDefault="004F083E" w:rsidP="00C56795">
      <w:pPr>
        <w:spacing w:after="0" w:line="240" w:lineRule="auto"/>
      </w:pPr>
      <w:r>
        <w:separator/>
      </w:r>
    </w:p>
  </w:footnote>
  <w:footnote w:type="continuationSeparator" w:id="0">
    <w:p w14:paraId="352ACF3C" w14:textId="77777777" w:rsidR="004F083E" w:rsidRDefault="004F083E" w:rsidP="00C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86D" w14:textId="213707CB" w:rsidR="008F5620" w:rsidRDefault="008F562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2C44C" wp14:editId="55ABCC8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492500" cy="476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W_LOGO_HORIZONTAL_DRK.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4461" w14:textId="77777777" w:rsidR="007248C4" w:rsidRDefault="007248C4" w:rsidP="001E6AFC">
    <w:pPr>
      <w:pStyle w:val="Header"/>
      <w:ind w:left="-63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489FC" wp14:editId="0FA2EC3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615184" cy="356616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L:\Program Production \PRODUCTION TEAM\Templates\Letterhead\LW_colour_h_sol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5184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C730B4" w14:textId="77777777" w:rsidR="007248C4" w:rsidRDefault="0072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4F0"/>
    <w:multiLevelType w:val="multilevel"/>
    <w:tmpl w:val="7E6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94D84"/>
    <w:multiLevelType w:val="hybridMultilevel"/>
    <w:tmpl w:val="3106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04A7"/>
    <w:multiLevelType w:val="multilevel"/>
    <w:tmpl w:val="79785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2C35BC"/>
    <w:multiLevelType w:val="multilevel"/>
    <w:tmpl w:val="79785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1E79F7"/>
    <w:multiLevelType w:val="multilevel"/>
    <w:tmpl w:val="8B2C9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A450F3"/>
    <w:multiLevelType w:val="hybridMultilevel"/>
    <w:tmpl w:val="99D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3848"/>
    <w:multiLevelType w:val="multilevel"/>
    <w:tmpl w:val="48B25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501374"/>
    <w:multiLevelType w:val="hybridMultilevel"/>
    <w:tmpl w:val="3F8A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52960"/>
    <w:multiLevelType w:val="multilevel"/>
    <w:tmpl w:val="175A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F4F36"/>
    <w:multiLevelType w:val="multilevel"/>
    <w:tmpl w:val="FC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27095"/>
    <w:multiLevelType w:val="hybridMultilevel"/>
    <w:tmpl w:val="AFF8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E84"/>
    <w:multiLevelType w:val="hybridMultilevel"/>
    <w:tmpl w:val="9E80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84032"/>
    <w:multiLevelType w:val="multilevel"/>
    <w:tmpl w:val="0B5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57364"/>
    <w:multiLevelType w:val="hybridMultilevel"/>
    <w:tmpl w:val="0CB83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4E4"/>
    <w:multiLevelType w:val="hybridMultilevel"/>
    <w:tmpl w:val="65D2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26588">
    <w:abstractNumId w:val="0"/>
  </w:num>
  <w:num w:numId="2" w16cid:durableId="1064645567">
    <w:abstractNumId w:val="9"/>
  </w:num>
  <w:num w:numId="3" w16cid:durableId="1882551523">
    <w:abstractNumId w:val="12"/>
  </w:num>
  <w:num w:numId="4" w16cid:durableId="682589444">
    <w:abstractNumId w:val="8"/>
  </w:num>
  <w:num w:numId="5" w16cid:durableId="468133691">
    <w:abstractNumId w:val="13"/>
  </w:num>
  <w:num w:numId="6" w16cid:durableId="332269281">
    <w:abstractNumId w:val="4"/>
  </w:num>
  <w:num w:numId="7" w16cid:durableId="282157007">
    <w:abstractNumId w:val="6"/>
  </w:num>
  <w:num w:numId="8" w16cid:durableId="1525678513">
    <w:abstractNumId w:val="11"/>
  </w:num>
  <w:num w:numId="9" w16cid:durableId="1153791562">
    <w:abstractNumId w:val="10"/>
  </w:num>
  <w:num w:numId="10" w16cid:durableId="283653418">
    <w:abstractNumId w:val="5"/>
  </w:num>
  <w:num w:numId="11" w16cid:durableId="1949502973">
    <w:abstractNumId w:val="2"/>
  </w:num>
  <w:num w:numId="12" w16cid:durableId="16468872">
    <w:abstractNumId w:val="3"/>
  </w:num>
  <w:num w:numId="13" w16cid:durableId="305739542">
    <w:abstractNumId w:val="14"/>
  </w:num>
  <w:num w:numId="14" w16cid:durableId="377321932">
    <w:abstractNumId w:val="7"/>
  </w:num>
  <w:num w:numId="15" w16cid:durableId="21798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C4"/>
    <w:rsid w:val="00013E9C"/>
    <w:rsid w:val="00030200"/>
    <w:rsid w:val="000B7E8A"/>
    <w:rsid w:val="00130331"/>
    <w:rsid w:val="00133D84"/>
    <w:rsid w:val="00193F5D"/>
    <w:rsid w:val="001A413F"/>
    <w:rsid w:val="001E6AFC"/>
    <w:rsid w:val="001F0ED4"/>
    <w:rsid w:val="00265DEB"/>
    <w:rsid w:val="002B36AE"/>
    <w:rsid w:val="002F6A22"/>
    <w:rsid w:val="003168D0"/>
    <w:rsid w:val="00323183"/>
    <w:rsid w:val="00324512"/>
    <w:rsid w:val="003A2FDA"/>
    <w:rsid w:val="003D019E"/>
    <w:rsid w:val="003E16FD"/>
    <w:rsid w:val="00416DDE"/>
    <w:rsid w:val="00435E3F"/>
    <w:rsid w:val="004459F9"/>
    <w:rsid w:val="004A6739"/>
    <w:rsid w:val="004F083E"/>
    <w:rsid w:val="004F2ED9"/>
    <w:rsid w:val="005C044B"/>
    <w:rsid w:val="00683BCA"/>
    <w:rsid w:val="006A708A"/>
    <w:rsid w:val="007248C4"/>
    <w:rsid w:val="0073142D"/>
    <w:rsid w:val="0075432C"/>
    <w:rsid w:val="00796E8F"/>
    <w:rsid w:val="007F71ED"/>
    <w:rsid w:val="008F5620"/>
    <w:rsid w:val="009E1380"/>
    <w:rsid w:val="00A044B1"/>
    <w:rsid w:val="00A12183"/>
    <w:rsid w:val="00A4339B"/>
    <w:rsid w:val="00A56932"/>
    <w:rsid w:val="00A57199"/>
    <w:rsid w:val="00AC3598"/>
    <w:rsid w:val="00B11176"/>
    <w:rsid w:val="00B55FC7"/>
    <w:rsid w:val="00B753C8"/>
    <w:rsid w:val="00B82727"/>
    <w:rsid w:val="00B85557"/>
    <w:rsid w:val="00BC66BB"/>
    <w:rsid w:val="00C56795"/>
    <w:rsid w:val="00CA4F1C"/>
    <w:rsid w:val="00CC03AA"/>
    <w:rsid w:val="00CD246E"/>
    <w:rsid w:val="00CE37DF"/>
    <w:rsid w:val="00DD29C2"/>
    <w:rsid w:val="00DF64C4"/>
    <w:rsid w:val="00E15129"/>
    <w:rsid w:val="00E47756"/>
    <w:rsid w:val="00E52799"/>
    <w:rsid w:val="00E6303E"/>
    <w:rsid w:val="00E65AC4"/>
    <w:rsid w:val="00EC4903"/>
    <w:rsid w:val="00F02F5F"/>
    <w:rsid w:val="00F44B41"/>
    <w:rsid w:val="00F65F57"/>
    <w:rsid w:val="00F73FEF"/>
    <w:rsid w:val="00F834E4"/>
    <w:rsid w:val="00FE400A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E5A3A6A"/>
  <w15:docId w15:val="{25948576-4971-48C6-B7FC-FB90E961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95"/>
  </w:style>
  <w:style w:type="paragraph" w:styleId="Footer">
    <w:name w:val="footer"/>
    <w:basedOn w:val="Normal"/>
    <w:link w:val="FooterChar"/>
    <w:uiPriority w:val="99"/>
    <w:unhideWhenUsed/>
    <w:rsid w:val="00C5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95"/>
  </w:style>
  <w:style w:type="paragraph" w:styleId="BalloonText">
    <w:name w:val="Balloon Text"/>
    <w:basedOn w:val="Normal"/>
    <w:link w:val="BalloonTextChar"/>
    <w:uiPriority w:val="99"/>
    <w:semiHidden/>
    <w:unhideWhenUsed/>
    <w:rsid w:val="00E6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8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2FDA"/>
  </w:style>
  <w:style w:type="paragraph" w:styleId="ListParagraph">
    <w:name w:val="List Paragraph"/>
    <w:basedOn w:val="Normal"/>
    <w:link w:val="ListParagraphChar"/>
    <w:uiPriority w:val="34"/>
    <w:qFormat/>
    <w:rsid w:val="004459F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74CA9-0838-4EDE-B62C-0670AF5C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Lawrence</dc:creator>
  <cp:keywords/>
  <dc:description/>
  <cp:lastModifiedBy>Katie Campbell</cp:lastModifiedBy>
  <cp:revision>12</cp:revision>
  <cp:lastPrinted>2017-02-03T16:37:00Z</cp:lastPrinted>
  <dcterms:created xsi:type="dcterms:W3CDTF">2022-03-14T16:12:00Z</dcterms:created>
  <dcterms:modified xsi:type="dcterms:W3CDTF">2022-04-14T15:06:00Z</dcterms:modified>
</cp:coreProperties>
</file>